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F75" w:rsidRDefault="008679EC" w:rsidP="002E2F75">
      <w:pPr>
        <w:autoSpaceDE w:val="0"/>
        <w:autoSpaceDN w:val="0"/>
        <w:adjustRightInd w:val="0"/>
        <w:spacing w:line="240" w:lineRule="auto"/>
        <w:rPr>
          <w:rFonts w:eastAsia="SimSun" w:cs="Arial"/>
          <w:sz w:val="22"/>
          <w:szCs w:val="22"/>
          <w:lang w:eastAsia="zh-CN"/>
        </w:rPr>
      </w:pPr>
      <w:bookmarkStart w:id="0" w:name="bkmConcerning"/>
      <w:r>
        <w:rPr>
          <w:rFonts w:eastAsia="SimSun" w:cs="Arial"/>
          <w:sz w:val="22"/>
          <w:szCs w:val="22"/>
          <w:lang w:eastAsia="zh-CN"/>
        </w:rPr>
        <w:t>May 17</w:t>
      </w:r>
      <w:r w:rsidRPr="008679EC">
        <w:rPr>
          <w:rFonts w:eastAsia="SimSun" w:cs="Arial"/>
          <w:sz w:val="22"/>
          <w:szCs w:val="22"/>
          <w:vertAlign w:val="superscript"/>
          <w:lang w:eastAsia="zh-CN"/>
        </w:rPr>
        <w:t>th</w:t>
      </w:r>
      <w:r>
        <w:rPr>
          <w:rFonts w:eastAsia="SimSun" w:cs="Arial"/>
          <w:sz w:val="22"/>
          <w:szCs w:val="22"/>
          <w:lang w:eastAsia="zh-CN"/>
        </w:rPr>
        <w:t>, 2014</w:t>
      </w:r>
    </w:p>
    <w:p w:rsidR="00C75988" w:rsidRDefault="00C75988" w:rsidP="002E2F75">
      <w:pPr>
        <w:autoSpaceDE w:val="0"/>
        <w:autoSpaceDN w:val="0"/>
        <w:adjustRightInd w:val="0"/>
        <w:spacing w:line="240" w:lineRule="auto"/>
        <w:rPr>
          <w:rFonts w:eastAsia="SimSun" w:cs="Arial"/>
          <w:sz w:val="22"/>
          <w:szCs w:val="22"/>
          <w:lang w:eastAsia="zh-CN"/>
        </w:rPr>
      </w:pPr>
    </w:p>
    <w:p w:rsidR="008679EC" w:rsidRPr="00BF4085" w:rsidRDefault="008679EC" w:rsidP="002E2F75">
      <w:pPr>
        <w:autoSpaceDE w:val="0"/>
        <w:autoSpaceDN w:val="0"/>
        <w:adjustRightInd w:val="0"/>
        <w:spacing w:line="240" w:lineRule="auto"/>
        <w:rPr>
          <w:rFonts w:eastAsia="SimSun" w:cs="Arial"/>
          <w:sz w:val="22"/>
          <w:szCs w:val="22"/>
          <w:lang w:eastAsia="zh-CN"/>
        </w:rPr>
      </w:pPr>
    </w:p>
    <w:p w:rsidR="00C0371A" w:rsidRPr="008679EC" w:rsidRDefault="008679EC" w:rsidP="002E2F75">
      <w:pPr>
        <w:autoSpaceDE w:val="0"/>
        <w:autoSpaceDN w:val="0"/>
        <w:adjustRightInd w:val="0"/>
        <w:spacing w:line="240" w:lineRule="auto"/>
        <w:rPr>
          <w:rFonts w:eastAsia="SimSun" w:cs="Arial"/>
          <w:b/>
          <w:sz w:val="28"/>
          <w:szCs w:val="28"/>
          <w:u w:val="single"/>
          <w:lang w:eastAsia="zh-CN"/>
        </w:rPr>
      </w:pPr>
      <w:r w:rsidRPr="008679EC">
        <w:rPr>
          <w:rFonts w:eastAsia="SimSun" w:cs="Arial"/>
          <w:b/>
          <w:sz w:val="28"/>
          <w:szCs w:val="28"/>
          <w:u w:val="single"/>
          <w:lang w:eastAsia="zh-CN"/>
        </w:rPr>
        <w:t xml:space="preserve">Rationale and Explanations for the Proposed Changes to the CIPAC Method 239 for </w:t>
      </w:r>
      <w:proofErr w:type="spellStart"/>
      <w:r w:rsidRPr="008679EC">
        <w:rPr>
          <w:rFonts w:eastAsia="SimSun" w:cs="Arial"/>
          <w:b/>
          <w:sz w:val="28"/>
          <w:szCs w:val="28"/>
          <w:u w:val="single"/>
          <w:lang w:eastAsia="zh-CN"/>
        </w:rPr>
        <w:t>Pirimiphos</w:t>
      </w:r>
      <w:proofErr w:type="spellEnd"/>
      <w:r w:rsidRPr="008679EC">
        <w:rPr>
          <w:rFonts w:eastAsia="SimSun" w:cs="Arial"/>
          <w:b/>
          <w:sz w:val="28"/>
          <w:szCs w:val="28"/>
          <w:u w:val="single"/>
          <w:lang w:eastAsia="zh-CN"/>
        </w:rPr>
        <w:t>-Methyl</w:t>
      </w:r>
    </w:p>
    <w:p w:rsidR="000129F4" w:rsidRDefault="000129F4">
      <w:pPr>
        <w:spacing w:line="240" w:lineRule="auto"/>
        <w:rPr>
          <w:rFonts w:cs="Arial"/>
          <w:sz w:val="22"/>
          <w:szCs w:val="22"/>
        </w:rPr>
      </w:pPr>
    </w:p>
    <w:p w:rsidR="00121C17" w:rsidRDefault="00121C17" w:rsidP="008679EC">
      <w:pPr>
        <w:pStyle w:val="SGAText"/>
        <w:jc w:val="both"/>
        <w:rPr>
          <w:rFonts w:cs="Arial"/>
          <w:sz w:val="22"/>
          <w:szCs w:val="22"/>
        </w:rPr>
      </w:pPr>
    </w:p>
    <w:p w:rsidR="008679EC" w:rsidRDefault="008679EC" w:rsidP="008679EC">
      <w:pPr>
        <w:jc w:val="both"/>
      </w:pPr>
      <w:r>
        <w:t>In recent months Syngenta got aware of some issues related to the use of the CIPAC methods for the determination of this AI in formulations (</w:t>
      </w:r>
      <w:r w:rsidR="004B6D99">
        <w:t>specifically</w:t>
      </w:r>
      <w:r>
        <w:t xml:space="preserve"> EC and CS formulations). Extended investigations and round robin studies have been performed to better understand the issue and to be able to propose changes to the current CIPAC method that improve clarity and minimize the potential for incorrect analyses. </w:t>
      </w:r>
    </w:p>
    <w:p w:rsidR="008679EC" w:rsidRDefault="008679EC" w:rsidP="008679EC">
      <w:pPr>
        <w:jc w:val="both"/>
      </w:pPr>
    </w:p>
    <w:p w:rsidR="008679EC" w:rsidRDefault="008679EC" w:rsidP="008679EC">
      <w:pPr>
        <w:jc w:val="both"/>
      </w:pPr>
      <w:r>
        <w:t>The following issues have been observed:</w:t>
      </w:r>
    </w:p>
    <w:p w:rsidR="008679EC" w:rsidRDefault="008679EC" w:rsidP="008679EC">
      <w:pPr>
        <w:pStyle w:val="ListParagraph"/>
        <w:numPr>
          <w:ilvl w:val="0"/>
          <w:numId w:val="12"/>
        </w:numPr>
        <w:jc w:val="both"/>
      </w:pPr>
      <w:r>
        <w:t xml:space="preserve">When analyzing </w:t>
      </w:r>
      <w:r w:rsidR="00BF63F6">
        <w:t xml:space="preserve">samples of </w:t>
      </w:r>
      <w:r>
        <w:t xml:space="preserve">formulated products, the results obtained for the AI content were significantly higher than the nominal content. A root cause analysis showed that overdosing could be ruled out. The most like cause was that the purity of the reference substance used was significantly lower than the purity indicated on the label. Inappropriate shipping and handling of the material could cause degradation of the AI. This is a known phenomenon for organophosphates. </w:t>
      </w:r>
      <w:r w:rsidR="00BF63F6">
        <w:tab/>
      </w:r>
      <w:r w:rsidR="00BF63F6">
        <w:br/>
        <w:t>Thus, we have added a statement</w:t>
      </w:r>
      <w:r>
        <w:t xml:space="preserve"> </w:t>
      </w:r>
      <w:r w:rsidR="00BF63F6">
        <w:t>in the method (on page 2) that describes how the reference substance should be treated.</w:t>
      </w:r>
      <w:r w:rsidR="00C149F0">
        <w:t xml:space="preserve"> As the same holds also for the </w:t>
      </w:r>
      <w:r w:rsidR="008D08CF">
        <w:t>reference substances of the impurities, a similar statement was added on page 8.</w:t>
      </w:r>
    </w:p>
    <w:p w:rsidR="00BF63F6" w:rsidRDefault="00BF63F6" w:rsidP="008679EC">
      <w:pPr>
        <w:pStyle w:val="ListParagraph"/>
        <w:numPr>
          <w:ilvl w:val="0"/>
          <w:numId w:val="12"/>
        </w:numPr>
        <w:jc w:val="both"/>
      </w:pPr>
      <w:r>
        <w:t xml:space="preserve">When analyzing samples of the CS formulations, the results for the total AI content in some of the labs was lower than in other labs. The investigations revealed that the labs with the lower results had an ultrasonic bath </w:t>
      </w:r>
      <w:r w:rsidR="006A665A">
        <w:t>with low</w:t>
      </w:r>
      <w:r>
        <w:t xml:space="preserve"> power. Further tests also showed that the results </w:t>
      </w:r>
      <w:r w:rsidR="006A665A">
        <w:t>were</w:t>
      </w:r>
      <w:r>
        <w:t xml:space="preserve"> even lower if too many bottles have been placed into the ultrasonic bath at the same time.  </w:t>
      </w:r>
      <w:r w:rsidR="006A665A">
        <w:tab/>
      </w:r>
      <w:r w:rsidR="006A665A">
        <w:br/>
        <w:t>Thus, we have added a sentence on page 3 informing the reader of the consequence of a low power bath for CS formulations. In addition on page 6 a statement has been added to limit the number of bottles simultaneously in the ultrasonic bath to three.</w:t>
      </w:r>
    </w:p>
    <w:p w:rsidR="009479AB" w:rsidRDefault="009479AB" w:rsidP="008679EC">
      <w:pPr>
        <w:pStyle w:val="ListParagraph"/>
        <w:numPr>
          <w:ilvl w:val="0"/>
          <w:numId w:val="12"/>
        </w:numPr>
        <w:jc w:val="both"/>
      </w:pPr>
      <w:r>
        <w:t>In one of the labs the low injector temperature (170°C) led to peak tailing after multiple injections. As a consequence the variations of the response factor</w:t>
      </w:r>
      <w:r w:rsidR="00C61F47">
        <w:t xml:space="preserve"> increased</w:t>
      </w:r>
      <w:r>
        <w:t>. This phenomenon could be reduced by increasing the injection temperature.</w:t>
      </w:r>
      <w:r>
        <w:tab/>
        <w:t xml:space="preserve"> </w:t>
      </w:r>
      <w:r>
        <w:br/>
        <w:t>Thus, we propose to introduce a comment on page 3 of the method that the temperature may be increased slightly if it’s ensured that this does not lead to decomposition of the AI.</w:t>
      </w:r>
    </w:p>
    <w:p w:rsidR="006A665A" w:rsidRDefault="006A665A" w:rsidP="008679EC">
      <w:pPr>
        <w:pStyle w:val="ListParagraph"/>
        <w:numPr>
          <w:ilvl w:val="0"/>
          <w:numId w:val="12"/>
        </w:numPr>
        <w:jc w:val="both"/>
      </w:pPr>
      <w:r>
        <w:t xml:space="preserve">Further work on CS formulations led to the conclusion that the AI may not be completely extracted </w:t>
      </w:r>
      <w:r w:rsidR="00C149F0">
        <w:t xml:space="preserve">after 15 minutes sonication (in particular when the power of the bath </w:t>
      </w:r>
      <w:r w:rsidR="00C61F47">
        <w:t xml:space="preserve">is </w:t>
      </w:r>
      <w:r w:rsidR="00C149F0">
        <w:t>near the lower limit of what is stated in the method). Tests have shown that 60 minutes sonication gives higher results. This does not lead to a significant decomposition of the AI.</w:t>
      </w:r>
      <w:r w:rsidR="00C149F0">
        <w:tab/>
      </w:r>
      <w:r w:rsidR="00C149F0">
        <w:br/>
        <w:t xml:space="preserve">Thus, on page 6 we propose to change the sonication time from 15 to 60 minutes. </w:t>
      </w:r>
    </w:p>
    <w:p w:rsidR="006A665A" w:rsidRDefault="006A665A" w:rsidP="008679EC">
      <w:pPr>
        <w:pStyle w:val="ListParagraph"/>
        <w:numPr>
          <w:ilvl w:val="0"/>
          <w:numId w:val="12"/>
        </w:numPr>
        <w:jc w:val="both"/>
      </w:pPr>
      <w:r>
        <w:t xml:space="preserve">All these investigations also revealed </w:t>
      </w:r>
      <w:r w:rsidR="00CF0496">
        <w:t xml:space="preserve">the following </w:t>
      </w:r>
      <w:r>
        <w:t xml:space="preserve">possibilities to improve the consistency of the sample preparation for CS formulations: Adding a bit of water </w:t>
      </w:r>
      <w:r w:rsidR="00C61F47">
        <w:t xml:space="preserve">(2 ml) </w:t>
      </w:r>
      <w:r>
        <w:t>prior to sonication and discarding the first ml when filtering proved useful.</w:t>
      </w:r>
      <w:r>
        <w:tab/>
      </w:r>
      <w:r>
        <w:br/>
        <w:t>Thus, these changes have been introduced on page 6 as well.</w:t>
      </w:r>
    </w:p>
    <w:p w:rsidR="00C149F0" w:rsidRPr="00CF0496" w:rsidRDefault="00CF0496" w:rsidP="008679EC">
      <w:pPr>
        <w:pStyle w:val="ListParagraph"/>
        <w:numPr>
          <w:ilvl w:val="0"/>
          <w:numId w:val="12"/>
        </w:numPr>
        <w:jc w:val="both"/>
      </w:pPr>
      <w:r w:rsidRPr="00CF0496">
        <w:t xml:space="preserve">Determination of the isomer of </w:t>
      </w:r>
      <w:proofErr w:type="spellStart"/>
      <w:r w:rsidRPr="00CF0496">
        <w:t>pirimiphos</w:t>
      </w:r>
      <w:proofErr w:type="spellEnd"/>
      <w:r w:rsidRPr="00CF0496">
        <w:t>-methyl</w:t>
      </w:r>
      <w:r>
        <w:t xml:space="preserve">, which is a relevant impurity: The original method applied the sample preparation </w:t>
      </w:r>
      <w:r w:rsidR="00C61F47">
        <w:t>as for</w:t>
      </w:r>
      <w:r>
        <w:t xml:space="preserve"> the CS formulations. However, we are now proposing to increase the sonication</w:t>
      </w:r>
      <w:r w:rsidR="00C61F47">
        <w:t xml:space="preserve"> time to 60 minutes (see point 4</w:t>
      </w:r>
      <w:r>
        <w:t xml:space="preserve"> above). But </w:t>
      </w:r>
      <w:r w:rsidR="008D08CF" w:rsidRPr="00CF0496">
        <w:t xml:space="preserve">this time period is not suitable for the determination of the isomer because this can lead to </w:t>
      </w:r>
      <w:r w:rsidR="008D08CF" w:rsidRPr="00CF0496">
        <w:lastRenderedPageBreak/>
        <w:t>extended isomerization</w:t>
      </w:r>
      <w:r w:rsidR="00607F80" w:rsidRPr="00CF0496">
        <w:t xml:space="preserve"> (CH</w:t>
      </w:r>
      <w:r w:rsidR="00607F80" w:rsidRPr="00CF0496">
        <w:rPr>
          <w:vertAlign w:val="subscript"/>
        </w:rPr>
        <w:t>3</w:t>
      </w:r>
      <w:r w:rsidR="008D08CF" w:rsidRPr="00CF0496">
        <w:t xml:space="preserve">O-P=S and </w:t>
      </w:r>
      <w:r w:rsidR="00607F80" w:rsidRPr="00CF0496">
        <w:t>CH</w:t>
      </w:r>
      <w:r w:rsidR="00607F80" w:rsidRPr="00CF0496">
        <w:rPr>
          <w:vertAlign w:val="subscript"/>
        </w:rPr>
        <w:t>3</w:t>
      </w:r>
      <w:r w:rsidR="008D08CF" w:rsidRPr="00CF0496">
        <w:t>S-P=O)</w:t>
      </w:r>
      <w:r w:rsidR="00607F80" w:rsidRPr="00CF0496">
        <w:t>.</w:t>
      </w:r>
      <w:r>
        <w:t xml:space="preserve"> </w:t>
      </w:r>
      <w:r w:rsidRPr="00CF0496">
        <w:t>As a consequence the measured amount of the isomer would be too high.</w:t>
      </w:r>
      <w:r>
        <w:tab/>
      </w:r>
      <w:r>
        <w:br/>
        <w:t xml:space="preserve">Thus, we propose to use the sample preparation conditions of the TC to determine this relevant impurity in TC and EC (page 6). </w:t>
      </w:r>
      <w:r w:rsidR="005D1765">
        <w:t>And for the CS formulations</w:t>
      </w:r>
      <w:r w:rsidR="00607F80" w:rsidRPr="00CF0496">
        <w:t xml:space="preserve"> a statement has been added on page 7 that the sonication time for the determination of the isomer is 15 rather than 60 minutes.</w:t>
      </w:r>
      <w:r w:rsidR="005D1765">
        <w:t xml:space="preserve"> And to compensate for the possibly incomplete extraction of both components from the capsules, the content of the AI and the isomer in the same sample are </w:t>
      </w:r>
      <w:proofErr w:type="spellStart"/>
      <w:r w:rsidR="005D1765">
        <w:t>analysed</w:t>
      </w:r>
      <w:proofErr w:type="spellEnd"/>
      <w:r w:rsidR="005D1765">
        <w:t>.</w:t>
      </w:r>
    </w:p>
    <w:p w:rsidR="009479AB" w:rsidRPr="00CF0496" w:rsidRDefault="00C75988" w:rsidP="00C75988">
      <w:pPr>
        <w:pStyle w:val="ListParagraph"/>
        <w:numPr>
          <w:ilvl w:val="0"/>
          <w:numId w:val="12"/>
        </w:numPr>
        <w:jc w:val="both"/>
      </w:pPr>
      <w:r>
        <w:t>A similar</w:t>
      </w:r>
      <w:r w:rsidR="00FC0A7C">
        <w:t xml:space="preserve"> approach</w:t>
      </w:r>
      <w:r w:rsidR="00607F80">
        <w:t xml:space="preserve"> </w:t>
      </w:r>
      <w:r>
        <w:t xml:space="preserve">is proposed </w:t>
      </w:r>
      <w:r w:rsidR="00607F80">
        <w:t>for the othe</w:t>
      </w:r>
      <w:r>
        <w:t xml:space="preserve">r four relevant impurities. They </w:t>
      </w:r>
      <w:r w:rsidR="00607F80">
        <w:t xml:space="preserve">are being determined by GC/MS: </w:t>
      </w:r>
      <w:r w:rsidR="005D1765">
        <w:t xml:space="preserve">For CS formulations the sonication time is fixed to 15 minutes to avoid degradation </w:t>
      </w:r>
      <w:r w:rsidR="009479AB">
        <w:t xml:space="preserve">and isomerization </w:t>
      </w:r>
      <w:r w:rsidR="005D1765">
        <w:t xml:space="preserve">of the relevant impurities. </w:t>
      </w:r>
      <w:r w:rsidR="009479AB">
        <w:t>An</w:t>
      </w:r>
      <w:r>
        <w:t>d to compensate for the possibly</w:t>
      </w:r>
      <w:r w:rsidR="009479AB">
        <w:t xml:space="preserve"> incomplete extraction of the impurities as well as the AI from the capsules, the </w:t>
      </w:r>
      <w:r>
        <w:t xml:space="preserve">same sample is used to determine the content of the impurities with GC/MS and to determine the </w:t>
      </w:r>
      <w:r w:rsidR="009479AB">
        <w:t xml:space="preserve">content </w:t>
      </w:r>
      <w:r>
        <w:t>of the AI with the standard GC method (</w:t>
      </w:r>
      <w:r w:rsidRPr="00C75988">
        <w:t>CIPAC method 239/TC/M/3</w:t>
      </w:r>
      <w:r>
        <w:t>).</w:t>
      </w:r>
    </w:p>
    <w:p w:rsidR="00607F80" w:rsidRDefault="00607F80" w:rsidP="00C75988">
      <w:pPr>
        <w:pStyle w:val="ListParagraph"/>
        <w:jc w:val="both"/>
      </w:pPr>
    </w:p>
    <w:p w:rsidR="00C75988" w:rsidRDefault="00C75988" w:rsidP="00C75988">
      <w:pPr>
        <w:pStyle w:val="ListParagraph"/>
        <w:jc w:val="both"/>
      </w:pPr>
    </w:p>
    <w:p w:rsidR="00C75988" w:rsidRDefault="00FC0A7C" w:rsidP="00FC0A7C">
      <w:pPr>
        <w:pStyle w:val="ListParagraph"/>
        <w:ind w:left="360"/>
        <w:jc w:val="both"/>
      </w:pPr>
      <w:r>
        <w:t>We are confident that all these changes improve clarity and will help the analysts to produce reliable results.</w:t>
      </w:r>
      <w:bookmarkStart w:id="1" w:name="_GoBack"/>
      <w:bookmarkEnd w:id="1"/>
      <w:r>
        <w:t xml:space="preserve"> </w:t>
      </w:r>
    </w:p>
    <w:p w:rsidR="00FC0A7C" w:rsidRDefault="00FC0A7C" w:rsidP="00FC0A7C">
      <w:pPr>
        <w:pStyle w:val="ListParagraph"/>
        <w:ind w:left="360"/>
        <w:jc w:val="both"/>
      </w:pPr>
    </w:p>
    <w:p w:rsidR="00FC0A7C" w:rsidRDefault="00FC0A7C" w:rsidP="00FC0A7C">
      <w:pPr>
        <w:pStyle w:val="ListParagraph"/>
        <w:ind w:left="360"/>
        <w:jc w:val="both"/>
      </w:pPr>
    </w:p>
    <w:p w:rsidR="00C75988" w:rsidRDefault="00C75988" w:rsidP="00C75988">
      <w:pPr>
        <w:pStyle w:val="ListParagraph"/>
        <w:ind w:left="360"/>
        <w:jc w:val="both"/>
      </w:pPr>
      <w:r>
        <w:t>M. Rodler</w:t>
      </w:r>
    </w:p>
    <w:p w:rsidR="008679EC" w:rsidRDefault="008679EC" w:rsidP="008679EC">
      <w:pPr>
        <w:jc w:val="both"/>
      </w:pPr>
    </w:p>
    <w:p w:rsidR="008679EC" w:rsidRPr="008679EC" w:rsidRDefault="008679EC">
      <w:pPr>
        <w:pStyle w:val="SGAText"/>
        <w:rPr>
          <w:rFonts w:cs="Arial"/>
          <w:sz w:val="24"/>
          <w:szCs w:val="24"/>
          <w:lang w:val="en-US"/>
        </w:rPr>
      </w:pPr>
    </w:p>
    <w:p w:rsidR="00156938" w:rsidRPr="00BF4085" w:rsidRDefault="00156938">
      <w:pPr>
        <w:pStyle w:val="SGAText"/>
        <w:rPr>
          <w:rFonts w:cs="Arial"/>
          <w:sz w:val="22"/>
          <w:szCs w:val="22"/>
        </w:rPr>
      </w:pPr>
    </w:p>
    <w:bookmarkEnd w:id="0"/>
    <w:p w:rsidR="00C963BA" w:rsidRPr="00BF4085" w:rsidRDefault="00C963BA">
      <w:pPr>
        <w:pStyle w:val="BodyText3"/>
        <w:spacing w:after="120"/>
        <w:rPr>
          <w:rFonts w:cs="Arial"/>
          <w:szCs w:val="22"/>
        </w:rPr>
      </w:pPr>
    </w:p>
    <w:sectPr w:rsidR="00C963BA" w:rsidRPr="00BF4085" w:rsidSect="00FE7446">
      <w:headerReference w:type="default" r:id="rId8"/>
      <w:footerReference w:type="even" r:id="rId9"/>
      <w:footerReference w:type="default" r:id="rId10"/>
      <w:headerReference w:type="first" r:id="rId11"/>
      <w:footerReference w:type="first" r:id="rId12"/>
      <w:pgSz w:w="11906" w:h="16838" w:code="9"/>
      <w:pgMar w:top="2097" w:right="1274" w:bottom="2269" w:left="1928" w:header="595" w:footer="14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45A" w:rsidRDefault="006A745A">
      <w:r>
        <w:separator/>
      </w:r>
    </w:p>
  </w:endnote>
  <w:endnote w:type="continuationSeparator" w:id="0">
    <w:p w:rsidR="006A745A" w:rsidRDefault="006A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abon">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5A" w:rsidRDefault="006A745A" w:rsidP="009B1C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745A" w:rsidRDefault="006A745A" w:rsidP="007975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5A" w:rsidRDefault="006A745A" w:rsidP="009B1C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0A7C">
      <w:rPr>
        <w:rStyle w:val="PageNumber"/>
        <w:noProof/>
      </w:rPr>
      <w:t>2</w:t>
    </w:r>
    <w:r>
      <w:rPr>
        <w:rStyle w:val="PageNumber"/>
      </w:rPr>
      <w:fldChar w:fldCharType="end"/>
    </w:r>
  </w:p>
  <w:p w:rsidR="006A745A" w:rsidRDefault="006A745A" w:rsidP="007975E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219" w:type="dxa"/>
      <w:tblLayout w:type="fixed"/>
      <w:tblCellMar>
        <w:left w:w="0" w:type="dxa"/>
        <w:right w:w="0" w:type="dxa"/>
      </w:tblCellMar>
      <w:tblLook w:val="0000" w:firstRow="0" w:lastRow="0" w:firstColumn="0" w:lastColumn="0" w:noHBand="0" w:noVBand="0"/>
    </w:tblPr>
    <w:tblGrid>
      <w:gridCol w:w="7144"/>
    </w:tblGrid>
    <w:tr w:rsidR="006A745A">
      <w:trPr>
        <w:cantSplit/>
      </w:trPr>
      <w:tc>
        <w:tcPr>
          <w:tcW w:w="7144" w:type="dxa"/>
        </w:tcPr>
        <w:p w:rsidR="006A745A" w:rsidRDefault="006A745A">
          <w:pPr>
            <w:pStyle w:val="SGAFooter"/>
          </w:pPr>
        </w:p>
      </w:tc>
    </w:tr>
  </w:tbl>
  <w:p w:rsidR="006A745A" w:rsidRDefault="006A745A">
    <w:pPr>
      <w:pStyle w:val="SGA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45A" w:rsidRDefault="006A745A">
      <w:r>
        <w:separator/>
      </w:r>
    </w:p>
  </w:footnote>
  <w:footnote w:type="continuationSeparator" w:id="0">
    <w:p w:rsidR="006A745A" w:rsidRDefault="006A7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389" w:type="dxa"/>
      <w:tblLayout w:type="fixed"/>
      <w:tblCellMar>
        <w:left w:w="0" w:type="dxa"/>
        <w:right w:w="0" w:type="dxa"/>
      </w:tblCellMar>
      <w:tblLook w:val="0000" w:firstRow="0" w:lastRow="0" w:firstColumn="0" w:lastColumn="0" w:noHBand="0" w:noVBand="0"/>
    </w:tblPr>
    <w:tblGrid>
      <w:gridCol w:w="2381"/>
      <w:gridCol w:w="2381"/>
      <w:gridCol w:w="2381"/>
    </w:tblGrid>
    <w:tr w:rsidR="006A745A">
      <w:trPr>
        <w:cantSplit/>
      </w:trPr>
      <w:tc>
        <w:tcPr>
          <w:tcW w:w="2381" w:type="dxa"/>
        </w:tcPr>
        <w:p w:rsidR="006A745A" w:rsidRDefault="006A745A">
          <w:pPr>
            <w:pStyle w:val="SGAHeader"/>
          </w:pPr>
        </w:p>
      </w:tc>
      <w:tc>
        <w:tcPr>
          <w:tcW w:w="2381" w:type="dxa"/>
        </w:tcPr>
        <w:p w:rsidR="006A745A" w:rsidRDefault="006A745A">
          <w:pPr>
            <w:pStyle w:val="SGAHeader"/>
          </w:pPr>
          <w:bookmarkStart w:id="2" w:name="bkmDatePageX"/>
          <w:bookmarkEnd w:id="2"/>
        </w:p>
      </w:tc>
      <w:tc>
        <w:tcPr>
          <w:tcW w:w="2381" w:type="dxa"/>
        </w:tcPr>
        <w:p w:rsidR="006A745A" w:rsidRDefault="006A745A">
          <w:pPr>
            <w:pStyle w:val="SGAHeader"/>
          </w:pPr>
        </w:p>
      </w:tc>
    </w:tr>
  </w:tbl>
  <w:p w:rsidR="006A745A" w:rsidRDefault="006A745A">
    <w:pPr>
      <w:pStyle w:val="SGA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65" w:type="dxa"/>
      <w:tblInd w:w="1132" w:type="dxa"/>
      <w:tblLayout w:type="fixed"/>
      <w:tblCellMar>
        <w:left w:w="0" w:type="dxa"/>
        <w:right w:w="0" w:type="dxa"/>
      </w:tblCellMar>
      <w:tblLook w:val="0000" w:firstRow="0" w:lastRow="0" w:firstColumn="0" w:lastColumn="0" w:noHBand="0" w:noVBand="0"/>
    </w:tblPr>
    <w:tblGrid>
      <w:gridCol w:w="1151"/>
      <w:gridCol w:w="1401"/>
      <w:gridCol w:w="980"/>
      <w:gridCol w:w="1288"/>
      <w:gridCol w:w="1066"/>
      <w:gridCol w:w="1769"/>
      <w:gridCol w:w="810"/>
    </w:tblGrid>
    <w:tr w:rsidR="006A745A" w:rsidRPr="008F6E00" w:rsidTr="008F6E00">
      <w:trPr>
        <w:gridBefore w:val="1"/>
        <w:wBefore w:w="1151" w:type="dxa"/>
        <w:cantSplit/>
      </w:trPr>
      <w:tc>
        <w:tcPr>
          <w:tcW w:w="2381" w:type="dxa"/>
          <w:gridSpan w:val="2"/>
        </w:tcPr>
        <w:p w:rsidR="006A745A" w:rsidRPr="008F6E00" w:rsidRDefault="006A745A">
          <w:pPr>
            <w:pStyle w:val="SGAHeader"/>
            <w:rPr>
              <w:lang w:val="de-CH"/>
            </w:rPr>
          </w:pPr>
        </w:p>
      </w:tc>
      <w:tc>
        <w:tcPr>
          <w:tcW w:w="2354" w:type="dxa"/>
          <w:gridSpan w:val="2"/>
        </w:tcPr>
        <w:p w:rsidR="006A745A" w:rsidRPr="008F6E00" w:rsidRDefault="006A745A">
          <w:pPr>
            <w:pStyle w:val="SGAHeader"/>
            <w:rPr>
              <w:lang w:val="de-CH"/>
            </w:rPr>
          </w:pPr>
          <w:bookmarkStart w:id="3" w:name="bkmCompanyName"/>
          <w:bookmarkEnd w:id="3"/>
        </w:p>
      </w:tc>
      <w:tc>
        <w:tcPr>
          <w:tcW w:w="2579" w:type="dxa"/>
          <w:gridSpan w:val="2"/>
        </w:tcPr>
        <w:p w:rsidR="006A745A" w:rsidRPr="008F6E00" w:rsidRDefault="006A745A">
          <w:pPr>
            <w:pStyle w:val="SGAHeaderSender"/>
            <w:rPr>
              <w:lang w:val="de-CH"/>
            </w:rPr>
          </w:pPr>
          <w:bookmarkStart w:id="4" w:name="bkmSenderData"/>
          <w:bookmarkEnd w:id="4"/>
        </w:p>
      </w:tc>
    </w:tr>
    <w:tr w:rsidR="006A745A" w:rsidRPr="004B6D99" w:rsidTr="008F6E00">
      <w:trPr>
        <w:gridAfter w:val="1"/>
        <w:wAfter w:w="810" w:type="dxa"/>
        <w:cantSplit/>
      </w:trPr>
      <w:tc>
        <w:tcPr>
          <w:tcW w:w="2552" w:type="dxa"/>
          <w:gridSpan w:val="2"/>
        </w:tcPr>
        <w:p w:rsidR="006A745A" w:rsidRPr="001A61A8" w:rsidRDefault="00C84794" w:rsidP="008F6E00">
          <w:pPr>
            <w:pStyle w:val="SGAHeaderBold"/>
            <w:rPr>
              <w:b w:val="0"/>
              <w:lang w:val="de-DE"/>
            </w:rPr>
          </w:pPr>
          <w:bookmarkStart w:id="5" w:name="bkmSenderFunction"/>
          <w:bookmarkEnd w:id="5"/>
          <w:r>
            <w:rPr>
              <w:lang w:val="de-DE"/>
            </w:rPr>
            <w:t>Martin Rodler</w:t>
          </w:r>
        </w:p>
        <w:p w:rsidR="006A745A" w:rsidRDefault="006A745A" w:rsidP="008F6E00">
          <w:pPr>
            <w:pStyle w:val="SGAHeader"/>
          </w:pPr>
        </w:p>
      </w:tc>
      <w:tc>
        <w:tcPr>
          <w:tcW w:w="2268" w:type="dxa"/>
          <w:gridSpan w:val="2"/>
        </w:tcPr>
        <w:p w:rsidR="006A745A" w:rsidRDefault="00C84794" w:rsidP="008F6E00">
          <w:pPr>
            <w:pStyle w:val="SGAHeaderSender"/>
          </w:pPr>
          <w:r>
            <w:t>Tel:</w:t>
          </w:r>
          <w:r>
            <w:tab/>
            <w:t>+41 62 868 52 46</w:t>
          </w:r>
        </w:p>
        <w:p w:rsidR="006A745A" w:rsidRPr="009C05F9" w:rsidRDefault="006A745A" w:rsidP="008F6E00">
          <w:pPr>
            <w:pStyle w:val="SGAHeaderSender"/>
            <w:rPr>
              <w:lang w:val="fr-FR"/>
            </w:rPr>
          </w:pPr>
          <w:r>
            <w:rPr>
              <w:lang w:val="fr-FR"/>
            </w:rPr>
            <w:t>Fax:</w:t>
          </w:r>
          <w:r>
            <w:rPr>
              <w:lang w:val="fr-FR"/>
            </w:rPr>
            <w:tab/>
            <w:t>+41 62 868</w:t>
          </w:r>
          <w:r w:rsidRPr="009C05F9">
            <w:rPr>
              <w:lang w:val="fr-FR"/>
            </w:rPr>
            <w:t xml:space="preserve"> </w:t>
          </w:r>
          <w:r>
            <w:rPr>
              <w:lang w:val="fr-FR"/>
            </w:rPr>
            <w:t>56</w:t>
          </w:r>
          <w:r w:rsidRPr="009C05F9">
            <w:rPr>
              <w:lang w:val="fr-FR"/>
            </w:rPr>
            <w:t xml:space="preserve"> </w:t>
          </w:r>
          <w:r>
            <w:rPr>
              <w:lang w:val="fr-FR"/>
            </w:rPr>
            <w:t>04</w:t>
          </w:r>
        </w:p>
        <w:p w:rsidR="006A745A" w:rsidRPr="009C05F9" w:rsidRDefault="00C84794" w:rsidP="008F6E00">
          <w:pPr>
            <w:pStyle w:val="SGAHeaderSender"/>
            <w:rPr>
              <w:lang w:val="fr-FR"/>
            </w:rPr>
          </w:pPr>
          <w:r>
            <w:rPr>
              <w:lang w:val="fr-FR"/>
            </w:rPr>
            <w:t>Martin.rodler</w:t>
          </w:r>
          <w:r w:rsidR="006A745A" w:rsidRPr="009C05F9">
            <w:rPr>
              <w:lang w:val="fr-FR"/>
            </w:rPr>
            <w:br/>
            <w:t>@syngenta.com</w:t>
          </w:r>
        </w:p>
      </w:tc>
      <w:tc>
        <w:tcPr>
          <w:tcW w:w="2835" w:type="dxa"/>
          <w:gridSpan w:val="2"/>
        </w:tcPr>
        <w:p w:rsidR="006A745A" w:rsidRPr="00DE31A8" w:rsidRDefault="006A745A" w:rsidP="008F6E00">
          <w:pPr>
            <w:pStyle w:val="SGAHeaderBold"/>
            <w:rPr>
              <w:lang w:val="de-CH"/>
            </w:rPr>
          </w:pPr>
          <w:r w:rsidRPr="00DE31A8">
            <w:rPr>
              <w:lang w:val="de-CH"/>
            </w:rPr>
            <w:t xml:space="preserve">Syngenta Crop Protection </w:t>
          </w:r>
        </w:p>
        <w:p w:rsidR="006A745A" w:rsidRPr="00DE31A8" w:rsidRDefault="006A745A" w:rsidP="008F6E00">
          <w:pPr>
            <w:pStyle w:val="SGAHeaderBold"/>
            <w:rPr>
              <w:lang w:val="de-CH"/>
            </w:rPr>
          </w:pPr>
          <w:r w:rsidRPr="00DE31A8">
            <w:rPr>
              <w:lang w:val="de-CH"/>
            </w:rPr>
            <w:t>Münchwilen AG</w:t>
          </w:r>
        </w:p>
        <w:p w:rsidR="006A745A" w:rsidRPr="00DE31A8" w:rsidRDefault="006A745A" w:rsidP="008F6E00">
          <w:pPr>
            <w:pStyle w:val="SGAHeader"/>
            <w:rPr>
              <w:lang w:val="de-CH"/>
            </w:rPr>
          </w:pPr>
          <w:r w:rsidRPr="00DE31A8">
            <w:rPr>
              <w:lang w:val="de-CH"/>
            </w:rPr>
            <w:t>Im Breitenloh 5</w:t>
          </w:r>
        </w:p>
        <w:p w:rsidR="006A745A" w:rsidRPr="00C050CD" w:rsidRDefault="008679EC" w:rsidP="008F6E00">
          <w:pPr>
            <w:pStyle w:val="SGAHeader"/>
            <w:rPr>
              <w:lang w:val="de-CH"/>
            </w:rPr>
          </w:pPr>
          <w:r>
            <w:rPr>
              <w:lang w:val="de-CH"/>
            </w:rPr>
            <w:t>WMU-3120.E.48</w:t>
          </w:r>
        </w:p>
        <w:p w:rsidR="006A745A" w:rsidRPr="00C050CD" w:rsidRDefault="006A745A" w:rsidP="008F6E00">
          <w:pPr>
            <w:pStyle w:val="SGAHeader"/>
            <w:rPr>
              <w:lang w:val="de-CH"/>
            </w:rPr>
          </w:pPr>
          <w:r w:rsidRPr="00C050CD">
            <w:rPr>
              <w:lang w:val="de-CH"/>
            </w:rPr>
            <w:t>CH-4333 Münchwilen</w:t>
          </w:r>
        </w:p>
        <w:p w:rsidR="006A745A" w:rsidRPr="00C050CD" w:rsidRDefault="006A745A" w:rsidP="008F6E00">
          <w:pPr>
            <w:pStyle w:val="SGAHeader"/>
            <w:rPr>
              <w:lang w:val="de-CH"/>
            </w:rPr>
          </w:pPr>
          <w:r w:rsidRPr="00C050CD">
            <w:rPr>
              <w:lang w:val="de-CH"/>
            </w:rPr>
            <w:t>Switzerland</w:t>
          </w:r>
        </w:p>
      </w:tc>
    </w:tr>
  </w:tbl>
  <w:p w:rsidR="006A745A" w:rsidRPr="008F6E00" w:rsidRDefault="006A745A">
    <w:pPr>
      <w:pStyle w:val="SGAHeader"/>
      <w:rPr>
        <w:lang w:val="de-CH"/>
      </w:rPr>
    </w:pPr>
  </w:p>
  <w:p w:rsidR="006A745A" w:rsidRPr="008F6E00" w:rsidRDefault="006A745A">
    <w:pPr>
      <w:pStyle w:val="SGAHeader"/>
      <w:rPr>
        <w:lang w:val="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029"/>
    <w:multiLevelType w:val="hybridMultilevel"/>
    <w:tmpl w:val="4B0A2E3C"/>
    <w:lvl w:ilvl="0" w:tplc="C0F87E2E">
      <w:start w:val="1"/>
      <w:numFmt w:val="lowerRoman"/>
      <w:lvlText w:val="(%1)"/>
      <w:lvlJc w:val="left"/>
      <w:pPr>
        <w:tabs>
          <w:tab w:val="num" w:pos="1080"/>
        </w:tabs>
        <w:ind w:left="1080" w:hanging="72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nsid w:val="04C7641C"/>
    <w:multiLevelType w:val="hybridMultilevel"/>
    <w:tmpl w:val="7F323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425617"/>
    <w:multiLevelType w:val="hybridMultilevel"/>
    <w:tmpl w:val="E0D848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0475E6"/>
    <w:multiLevelType w:val="hybridMultilevel"/>
    <w:tmpl w:val="7A6E4254"/>
    <w:lvl w:ilvl="0" w:tplc="C0F87E2E">
      <w:start w:val="1"/>
      <w:numFmt w:val="lowerRoman"/>
      <w:lvlText w:val="(%1)"/>
      <w:lvlJc w:val="left"/>
      <w:pPr>
        <w:tabs>
          <w:tab w:val="num" w:pos="1080"/>
        </w:tabs>
        <w:ind w:left="1080" w:hanging="720"/>
      </w:pPr>
      <w:rPr>
        <w:rFont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nsid w:val="1F094EC4"/>
    <w:multiLevelType w:val="hybridMultilevel"/>
    <w:tmpl w:val="E32823AA"/>
    <w:lvl w:ilvl="0" w:tplc="60E0CA7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C8042B"/>
    <w:multiLevelType w:val="hybridMultilevel"/>
    <w:tmpl w:val="0C6832B2"/>
    <w:lvl w:ilvl="0" w:tplc="2C1ED8F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328656C"/>
    <w:multiLevelType w:val="hybridMultilevel"/>
    <w:tmpl w:val="117AB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7B42FF"/>
    <w:multiLevelType w:val="hybridMultilevel"/>
    <w:tmpl w:val="0016B7B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445E88"/>
    <w:multiLevelType w:val="hybridMultilevel"/>
    <w:tmpl w:val="B378B20C"/>
    <w:lvl w:ilvl="0" w:tplc="0409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nsid w:val="448F6DEE"/>
    <w:multiLevelType w:val="hybridMultilevel"/>
    <w:tmpl w:val="2A1CCE10"/>
    <w:lvl w:ilvl="0" w:tplc="60E0CA7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A7D3F79"/>
    <w:multiLevelType w:val="hybridMultilevel"/>
    <w:tmpl w:val="81866D30"/>
    <w:lvl w:ilvl="0" w:tplc="60E0CA7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B16C33"/>
    <w:multiLevelType w:val="hybridMultilevel"/>
    <w:tmpl w:val="81D086F6"/>
    <w:lvl w:ilvl="0" w:tplc="E7DA490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2"/>
  </w:num>
  <w:num w:numId="4">
    <w:abstractNumId w:val="10"/>
  </w:num>
  <w:num w:numId="5">
    <w:abstractNumId w:val="4"/>
  </w:num>
  <w:num w:numId="6">
    <w:abstractNumId w:val="9"/>
  </w:num>
  <w:num w:numId="7">
    <w:abstractNumId w:val="11"/>
  </w:num>
  <w:num w:numId="8">
    <w:abstractNumId w:val="5"/>
  </w:num>
  <w:num w:numId="9">
    <w:abstractNumId w:val="8"/>
  </w:num>
  <w:num w:numId="10">
    <w:abstractNumId w:val="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1505"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C2D"/>
    <w:rsid w:val="000129F4"/>
    <w:rsid w:val="000153A2"/>
    <w:rsid w:val="00054110"/>
    <w:rsid w:val="00055F56"/>
    <w:rsid w:val="000562A4"/>
    <w:rsid w:val="000864F0"/>
    <w:rsid w:val="00092C1E"/>
    <w:rsid w:val="00111FD8"/>
    <w:rsid w:val="00121C17"/>
    <w:rsid w:val="00144739"/>
    <w:rsid w:val="0015222B"/>
    <w:rsid w:val="00156938"/>
    <w:rsid w:val="00191009"/>
    <w:rsid w:val="00195D47"/>
    <w:rsid w:val="001C7B09"/>
    <w:rsid w:val="001F69F6"/>
    <w:rsid w:val="002533BD"/>
    <w:rsid w:val="00261846"/>
    <w:rsid w:val="0027759B"/>
    <w:rsid w:val="002E1545"/>
    <w:rsid w:val="002E2F75"/>
    <w:rsid w:val="003344B6"/>
    <w:rsid w:val="003423BF"/>
    <w:rsid w:val="003449AB"/>
    <w:rsid w:val="003A11CD"/>
    <w:rsid w:val="003B7E4C"/>
    <w:rsid w:val="004471A7"/>
    <w:rsid w:val="004606AE"/>
    <w:rsid w:val="00467FBC"/>
    <w:rsid w:val="0048416A"/>
    <w:rsid w:val="004A05F3"/>
    <w:rsid w:val="004B6D99"/>
    <w:rsid w:val="004F0979"/>
    <w:rsid w:val="004F781C"/>
    <w:rsid w:val="0052481E"/>
    <w:rsid w:val="00533B2F"/>
    <w:rsid w:val="00541A05"/>
    <w:rsid w:val="00542C48"/>
    <w:rsid w:val="00553D40"/>
    <w:rsid w:val="005623DB"/>
    <w:rsid w:val="0057112B"/>
    <w:rsid w:val="00575ED4"/>
    <w:rsid w:val="00593746"/>
    <w:rsid w:val="005D0AE1"/>
    <w:rsid w:val="005D1765"/>
    <w:rsid w:val="005E166D"/>
    <w:rsid w:val="005F2CDE"/>
    <w:rsid w:val="00607F80"/>
    <w:rsid w:val="00613949"/>
    <w:rsid w:val="00620CFA"/>
    <w:rsid w:val="00625DF7"/>
    <w:rsid w:val="0068375A"/>
    <w:rsid w:val="006966B9"/>
    <w:rsid w:val="006A1195"/>
    <w:rsid w:val="006A665A"/>
    <w:rsid w:val="006A745A"/>
    <w:rsid w:val="006C0EC2"/>
    <w:rsid w:val="006C2398"/>
    <w:rsid w:val="006D3DC1"/>
    <w:rsid w:val="00702433"/>
    <w:rsid w:val="007206F8"/>
    <w:rsid w:val="00721175"/>
    <w:rsid w:val="0072642B"/>
    <w:rsid w:val="007975E9"/>
    <w:rsid w:val="007A6F0D"/>
    <w:rsid w:val="007D0FF4"/>
    <w:rsid w:val="00802467"/>
    <w:rsid w:val="00832BB8"/>
    <w:rsid w:val="008614A6"/>
    <w:rsid w:val="00863EE7"/>
    <w:rsid w:val="008679EC"/>
    <w:rsid w:val="00883A3A"/>
    <w:rsid w:val="008B7E54"/>
    <w:rsid w:val="008D08CF"/>
    <w:rsid w:val="008E3D0E"/>
    <w:rsid w:val="008F6E00"/>
    <w:rsid w:val="009449DD"/>
    <w:rsid w:val="009479AB"/>
    <w:rsid w:val="00970014"/>
    <w:rsid w:val="009B1C50"/>
    <w:rsid w:val="009D17DF"/>
    <w:rsid w:val="009F4670"/>
    <w:rsid w:val="00A10E08"/>
    <w:rsid w:val="00A447B5"/>
    <w:rsid w:val="00AD17AB"/>
    <w:rsid w:val="00AE35ED"/>
    <w:rsid w:val="00AF5A64"/>
    <w:rsid w:val="00B02149"/>
    <w:rsid w:val="00B10AF7"/>
    <w:rsid w:val="00B16A2B"/>
    <w:rsid w:val="00B40A34"/>
    <w:rsid w:val="00B47DA2"/>
    <w:rsid w:val="00B57BE1"/>
    <w:rsid w:val="00B742F4"/>
    <w:rsid w:val="00BA0FE4"/>
    <w:rsid w:val="00BF4085"/>
    <w:rsid w:val="00BF63F6"/>
    <w:rsid w:val="00BF73D8"/>
    <w:rsid w:val="00C0371A"/>
    <w:rsid w:val="00C149F0"/>
    <w:rsid w:val="00C278CF"/>
    <w:rsid w:val="00C5164C"/>
    <w:rsid w:val="00C551E9"/>
    <w:rsid w:val="00C61F47"/>
    <w:rsid w:val="00C75988"/>
    <w:rsid w:val="00C81B50"/>
    <w:rsid w:val="00C84794"/>
    <w:rsid w:val="00C963BA"/>
    <w:rsid w:val="00CD575F"/>
    <w:rsid w:val="00CF0496"/>
    <w:rsid w:val="00CF58E7"/>
    <w:rsid w:val="00D013ED"/>
    <w:rsid w:val="00D1429C"/>
    <w:rsid w:val="00D37385"/>
    <w:rsid w:val="00D52927"/>
    <w:rsid w:val="00D5584C"/>
    <w:rsid w:val="00D8201E"/>
    <w:rsid w:val="00DA75C2"/>
    <w:rsid w:val="00DC7CC5"/>
    <w:rsid w:val="00E46C31"/>
    <w:rsid w:val="00E46DDD"/>
    <w:rsid w:val="00E5207C"/>
    <w:rsid w:val="00E836F4"/>
    <w:rsid w:val="00E9339A"/>
    <w:rsid w:val="00EA2EEA"/>
    <w:rsid w:val="00EB15E2"/>
    <w:rsid w:val="00ED3F06"/>
    <w:rsid w:val="00F15C2D"/>
    <w:rsid w:val="00F5405D"/>
    <w:rsid w:val="00F57798"/>
    <w:rsid w:val="00F70980"/>
    <w:rsid w:val="00FC0A7C"/>
    <w:rsid w:val="00FE064F"/>
    <w:rsid w:val="00FE744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7446"/>
    <w:pPr>
      <w:spacing w:line="240" w:lineRule="atLeast"/>
    </w:pPr>
    <w:rPr>
      <w:rFonts w:ascii="Arial" w:hAnsi="Arial"/>
      <w:lang w:val="en-US" w:eastAsia="en-US"/>
    </w:rPr>
  </w:style>
  <w:style w:type="paragraph" w:styleId="Heading3">
    <w:name w:val="heading 3"/>
    <w:basedOn w:val="Normal"/>
    <w:next w:val="Normal"/>
    <w:link w:val="Heading3Char"/>
    <w:semiHidden/>
    <w:unhideWhenUsed/>
    <w:qFormat/>
    <w:rsid w:val="00D8201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4606AE"/>
    <w:pPr>
      <w:keepNext/>
      <w:spacing w:line="270" w:lineRule="atLeast"/>
      <w:outlineLvl w:val="3"/>
    </w:pPr>
    <w:rPr>
      <w:rFonts w:ascii="Sabon" w:hAnsi="Sabon"/>
      <w:b/>
      <w:bCs/>
      <w:sz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7446"/>
    <w:pPr>
      <w:spacing w:line="220" w:lineRule="atLeast"/>
    </w:pPr>
    <w:rPr>
      <w:rFonts w:ascii="Times" w:hAnsi="Times"/>
      <w:sz w:val="18"/>
    </w:rPr>
  </w:style>
  <w:style w:type="paragraph" w:customStyle="1" w:styleId="SGAGreeting">
    <w:name w:val="SGAGreeting"/>
    <w:basedOn w:val="SGAText"/>
    <w:next w:val="SGAText"/>
    <w:rsid w:val="00FE7446"/>
    <w:pPr>
      <w:spacing w:before="240"/>
    </w:pPr>
  </w:style>
  <w:style w:type="paragraph" w:customStyle="1" w:styleId="SGAText">
    <w:name w:val="SGAText"/>
    <w:basedOn w:val="Normal"/>
    <w:rsid w:val="00FE7446"/>
    <w:rPr>
      <w:lang w:val="en-GB"/>
    </w:rPr>
  </w:style>
  <w:style w:type="paragraph" w:customStyle="1" w:styleId="SGASignature">
    <w:name w:val="SGASignature"/>
    <w:basedOn w:val="SGAText"/>
    <w:next w:val="SGAText"/>
    <w:rsid w:val="00FE7446"/>
    <w:pPr>
      <w:tabs>
        <w:tab w:val="left" w:pos="4763"/>
      </w:tabs>
      <w:spacing w:before="720" w:after="480"/>
    </w:pPr>
  </w:style>
  <w:style w:type="paragraph" w:customStyle="1" w:styleId="SGADate">
    <w:name w:val="SGADate"/>
    <w:basedOn w:val="SGAText"/>
    <w:next w:val="SGAConcernig"/>
    <w:rsid w:val="00FE7446"/>
    <w:pPr>
      <w:spacing w:before="960"/>
    </w:pPr>
  </w:style>
  <w:style w:type="paragraph" w:customStyle="1" w:styleId="SGAConcernig">
    <w:name w:val="SGAConcernig"/>
    <w:basedOn w:val="SGAText"/>
    <w:next w:val="SGAText"/>
    <w:rsid w:val="00FE7446"/>
    <w:pPr>
      <w:spacing w:after="480"/>
    </w:pPr>
    <w:rPr>
      <w:b/>
    </w:rPr>
  </w:style>
  <w:style w:type="paragraph" w:styleId="Footer">
    <w:name w:val="footer"/>
    <w:basedOn w:val="Normal"/>
    <w:rsid w:val="00FE7446"/>
    <w:pPr>
      <w:spacing w:line="240" w:lineRule="auto"/>
    </w:pPr>
    <w:rPr>
      <w:sz w:val="16"/>
    </w:rPr>
  </w:style>
  <w:style w:type="paragraph" w:customStyle="1" w:styleId="SGAFooter">
    <w:name w:val="SGAFooter"/>
    <w:basedOn w:val="SGAText"/>
    <w:rsid w:val="00FE7446"/>
    <w:pPr>
      <w:spacing w:line="180" w:lineRule="atLeast"/>
    </w:pPr>
    <w:rPr>
      <w:rFonts w:ascii="Times New Roman" w:hAnsi="Times New Roman"/>
      <w:sz w:val="16"/>
    </w:rPr>
  </w:style>
  <w:style w:type="character" w:styleId="PageNumber">
    <w:name w:val="page number"/>
    <w:basedOn w:val="DefaultParagraphFont"/>
    <w:rsid w:val="00FE7446"/>
  </w:style>
  <w:style w:type="paragraph" w:customStyle="1" w:styleId="SGAHeader">
    <w:name w:val="SGAHeader"/>
    <w:basedOn w:val="Normal"/>
    <w:rsid w:val="00FE7446"/>
    <w:pPr>
      <w:spacing w:line="220" w:lineRule="atLeast"/>
    </w:pPr>
    <w:rPr>
      <w:rFonts w:ascii="Times New Roman" w:hAnsi="Times New Roman"/>
      <w:noProof/>
      <w:sz w:val="18"/>
    </w:rPr>
  </w:style>
  <w:style w:type="paragraph" w:customStyle="1" w:styleId="SGAHeaderBold">
    <w:name w:val="SGAHeaderBold"/>
    <w:basedOn w:val="SGAHeader"/>
    <w:rsid w:val="00FE7446"/>
    <w:rPr>
      <w:b/>
    </w:rPr>
  </w:style>
  <w:style w:type="paragraph" w:styleId="BodyTextIndent">
    <w:name w:val="Body Text Indent"/>
    <w:basedOn w:val="Normal"/>
    <w:rsid w:val="00FE7446"/>
    <w:pPr>
      <w:spacing w:line="240" w:lineRule="auto"/>
      <w:ind w:left="720"/>
    </w:pPr>
    <w:rPr>
      <w:rFonts w:ascii="Times New Roman" w:hAnsi="Times New Roman"/>
      <w:i/>
      <w:iCs/>
      <w:sz w:val="24"/>
      <w:szCs w:val="24"/>
      <w:lang w:val="en-GB"/>
    </w:rPr>
  </w:style>
  <w:style w:type="paragraph" w:customStyle="1" w:styleId="SGARecipient">
    <w:name w:val="SGARecipient"/>
    <w:basedOn w:val="SGAText"/>
    <w:rsid w:val="00FE7446"/>
    <w:pPr>
      <w:tabs>
        <w:tab w:val="left" w:pos="4763"/>
      </w:tabs>
    </w:pPr>
  </w:style>
  <w:style w:type="paragraph" w:customStyle="1" w:styleId="SGAHeaderSender">
    <w:name w:val="SGAHeaderSender"/>
    <w:basedOn w:val="SGAHeader"/>
    <w:rsid w:val="00FE7446"/>
    <w:pPr>
      <w:tabs>
        <w:tab w:val="left" w:pos="680"/>
      </w:tabs>
    </w:pPr>
  </w:style>
  <w:style w:type="paragraph" w:styleId="BodyText">
    <w:name w:val="Body Text"/>
    <w:basedOn w:val="Normal"/>
    <w:rsid w:val="00FE7446"/>
    <w:pPr>
      <w:spacing w:line="240" w:lineRule="auto"/>
    </w:pPr>
    <w:rPr>
      <w:rFonts w:ascii="Times New Roman" w:hAnsi="Times New Roman"/>
      <w:i/>
      <w:iCs/>
      <w:sz w:val="24"/>
      <w:szCs w:val="24"/>
      <w:lang w:val="en-GB"/>
    </w:rPr>
  </w:style>
  <w:style w:type="paragraph" w:styleId="BodyTextIndent2">
    <w:name w:val="Body Text Indent 2"/>
    <w:basedOn w:val="Normal"/>
    <w:rsid w:val="00FE7446"/>
    <w:pPr>
      <w:spacing w:line="240" w:lineRule="auto"/>
      <w:ind w:left="360"/>
    </w:pPr>
    <w:rPr>
      <w:rFonts w:ascii="Times New Roman" w:hAnsi="Times New Roman"/>
      <w:sz w:val="24"/>
      <w:szCs w:val="24"/>
      <w:lang w:val="en-GB"/>
    </w:rPr>
  </w:style>
  <w:style w:type="paragraph" w:styleId="BodyTextIndent3">
    <w:name w:val="Body Text Indent 3"/>
    <w:basedOn w:val="Normal"/>
    <w:rsid w:val="00FE7446"/>
    <w:pPr>
      <w:ind w:left="720"/>
    </w:pPr>
    <w:rPr>
      <w:rFonts w:ascii="Times New Roman" w:hAnsi="Times New Roman"/>
      <w:b/>
      <w:bCs/>
      <w:sz w:val="22"/>
    </w:rPr>
  </w:style>
  <w:style w:type="paragraph" w:styleId="BodyText2">
    <w:name w:val="Body Text 2"/>
    <w:basedOn w:val="Normal"/>
    <w:rsid w:val="00FE7446"/>
    <w:pPr>
      <w:jc w:val="center"/>
    </w:pPr>
    <w:rPr>
      <w:b/>
      <w:bCs/>
      <w:sz w:val="24"/>
    </w:rPr>
  </w:style>
  <w:style w:type="paragraph" w:styleId="BodyText3">
    <w:name w:val="Body Text 3"/>
    <w:basedOn w:val="Normal"/>
    <w:rsid w:val="00FE7446"/>
    <w:rPr>
      <w:sz w:val="22"/>
    </w:rPr>
  </w:style>
  <w:style w:type="paragraph" w:styleId="BalloonText">
    <w:name w:val="Balloon Text"/>
    <w:basedOn w:val="Normal"/>
    <w:semiHidden/>
    <w:rsid w:val="00B47DA2"/>
    <w:rPr>
      <w:rFonts w:ascii="Tahoma" w:hAnsi="Tahoma" w:cs="Tahoma"/>
      <w:sz w:val="16"/>
      <w:szCs w:val="16"/>
    </w:rPr>
  </w:style>
  <w:style w:type="paragraph" w:styleId="FootnoteText">
    <w:name w:val="footnote text"/>
    <w:basedOn w:val="Normal"/>
    <w:semiHidden/>
    <w:rsid w:val="00E46DDD"/>
  </w:style>
  <w:style w:type="character" w:styleId="FootnoteReference">
    <w:name w:val="footnote reference"/>
    <w:basedOn w:val="DefaultParagraphFont"/>
    <w:semiHidden/>
    <w:rsid w:val="00E46DDD"/>
    <w:rPr>
      <w:vertAlign w:val="superscript"/>
    </w:rPr>
  </w:style>
  <w:style w:type="table" w:styleId="TableGrid">
    <w:name w:val="Table Grid"/>
    <w:basedOn w:val="TableNormal"/>
    <w:rsid w:val="002E2F7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D8201E"/>
    <w:rPr>
      <w:rFonts w:asciiTheme="majorHAnsi" w:eastAsiaTheme="majorEastAsia" w:hAnsiTheme="majorHAnsi" w:cstheme="majorBidi"/>
      <w:b/>
      <w:bCs/>
      <w:color w:val="4F81BD" w:themeColor="accent1"/>
      <w:lang w:val="en-US" w:eastAsia="en-US"/>
    </w:rPr>
  </w:style>
  <w:style w:type="paragraph" w:styleId="ListParagraph">
    <w:name w:val="List Paragraph"/>
    <w:basedOn w:val="Normal"/>
    <w:uiPriority w:val="34"/>
    <w:qFormat/>
    <w:rsid w:val="00D820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7446"/>
    <w:pPr>
      <w:spacing w:line="240" w:lineRule="atLeast"/>
    </w:pPr>
    <w:rPr>
      <w:rFonts w:ascii="Arial" w:hAnsi="Arial"/>
      <w:lang w:val="en-US" w:eastAsia="en-US"/>
    </w:rPr>
  </w:style>
  <w:style w:type="paragraph" w:styleId="Heading3">
    <w:name w:val="heading 3"/>
    <w:basedOn w:val="Normal"/>
    <w:next w:val="Normal"/>
    <w:link w:val="Heading3Char"/>
    <w:semiHidden/>
    <w:unhideWhenUsed/>
    <w:qFormat/>
    <w:rsid w:val="00D8201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4606AE"/>
    <w:pPr>
      <w:keepNext/>
      <w:spacing w:line="270" w:lineRule="atLeast"/>
      <w:outlineLvl w:val="3"/>
    </w:pPr>
    <w:rPr>
      <w:rFonts w:ascii="Sabon" w:hAnsi="Sabon"/>
      <w:b/>
      <w:bCs/>
      <w:sz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7446"/>
    <w:pPr>
      <w:spacing w:line="220" w:lineRule="atLeast"/>
    </w:pPr>
    <w:rPr>
      <w:rFonts w:ascii="Times" w:hAnsi="Times"/>
      <w:sz w:val="18"/>
    </w:rPr>
  </w:style>
  <w:style w:type="paragraph" w:customStyle="1" w:styleId="SGAGreeting">
    <w:name w:val="SGAGreeting"/>
    <w:basedOn w:val="SGAText"/>
    <w:next w:val="SGAText"/>
    <w:rsid w:val="00FE7446"/>
    <w:pPr>
      <w:spacing w:before="240"/>
    </w:pPr>
  </w:style>
  <w:style w:type="paragraph" w:customStyle="1" w:styleId="SGAText">
    <w:name w:val="SGAText"/>
    <w:basedOn w:val="Normal"/>
    <w:rsid w:val="00FE7446"/>
    <w:rPr>
      <w:lang w:val="en-GB"/>
    </w:rPr>
  </w:style>
  <w:style w:type="paragraph" w:customStyle="1" w:styleId="SGASignature">
    <w:name w:val="SGASignature"/>
    <w:basedOn w:val="SGAText"/>
    <w:next w:val="SGAText"/>
    <w:rsid w:val="00FE7446"/>
    <w:pPr>
      <w:tabs>
        <w:tab w:val="left" w:pos="4763"/>
      </w:tabs>
      <w:spacing w:before="720" w:after="480"/>
    </w:pPr>
  </w:style>
  <w:style w:type="paragraph" w:customStyle="1" w:styleId="SGADate">
    <w:name w:val="SGADate"/>
    <w:basedOn w:val="SGAText"/>
    <w:next w:val="SGAConcernig"/>
    <w:rsid w:val="00FE7446"/>
    <w:pPr>
      <w:spacing w:before="960"/>
    </w:pPr>
  </w:style>
  <w:style w:type="paragraph" w:customStyle="1" w:styleId="SGAConcernig">
    <w:name w:val="SGAConcernig"/>
    <w:basedOn w:val="SGAText"/>
    <w:next w:val="SGAText"/>
    <w:rsid w:val="00FE7446"/>
    <w:pPr>
      <w:spacing w:after="480"/>
    </w:pPr>
    <w:rPr>
      <w:b/>
    </w:rPr>
  </w:style>
  <w:style w:type="paragraph" w:styleId="Footer">
    <w:name w:val="footer"/>
    <w:basedOn w:val="Normal"/>
    <w:rsid w:val="00FE7446"/>
    <w:pPr>
      <w:spacing w:line="240" w:lineRule="auto"/>
    </w:pPr>
    <w:rPr>
      <w:sz w:val="16"/>
    </w:rPr>
  </w:style>
  <w:style w:type="paragraph" w:customStyle="1" w:styleId="SGAFooter">
    <w:name w:val="SGAFooter"/>
    <w:basedOn w:val="SGAText"/>
    <w:rsid w:val="00FE7446"/>
    <w:pPr>
      <w:spacing w:line="180" w:lineRule="atLeast"/>
    </w:pPr>
    <w:rPr>
      <w:rFonts w:ascii="Times New Roman" w:hAnsi="Times New Roman"/>
      <w:sz w:val="16"/>
    </w:rPr>
  </w:style>
  <w:style w:type="character" w:styleId="PageNumber">
    <w:name w:val="page number"/>
    <w:basedOn w:val="DefaultParagraphFont"/>
    <w:rsid w:val="00FE7446"/>
  </w:style>
  <w:style w:type="paragraph" w:customStyle="1" w:styleId="SGAHeader">
    <w:name w:val="SGAHeader"/>
    <w:basedOn w:val="Normal"/>
    <w:rsid w:val="00FE7446"/>
    <w:pPr>
      <w:spacing w:line="220" w:lineRule="atLeast"/>
    </w:pPr>
    <w:rPr>
      <w:rFonts w:ascii="Times New Roman" w:hAnsi="Times New Roman"/>
      <w:noProof/>
      <w:sz w:val="18"/>
    </w:rPr>
  </w:style>
  <w:style w:type="paragraph" w:customStyle="1" w:styleId="SGAHeaderBold">
    <w:name w:val="SGAHeaderBold"/>
    <w:basedOn w:val="SGAHeader"/>
    <w:rsid w:val="00FE7446"/>
    <w:rPr>
      <w:b/>
    </w:rPr>
  </w:style>
  <w:style w:type="paragraph" w:styleId="BodyTextIndent">
    <w:name w:val="Body Text Indent"/>
    <w:basedOn w:val="Normal"/>
    <w:rsid w:val="00FE7446"/>
    <w:pPr>
      <w:spacing w:line="240" w:lineRule="auto"/>
      <w:ind w:left="720"/>
    </w:pPr>
    <w:rPr>
      <w:rFonts w:ascii="Times New Roman" w:hAnsi="Times New Roman"/>
      <w:i/>
      <w:iCs/>
      <w:sz w:val="24"/>
      <w:szCs w:val="24"/>
      <w:lang w:val="en-GB"/>
    </w:rPr>
  </w:style>
  <w:style w:type="paragraph" w:customStyle="1" w:styleId="SGARecipient">
    <w:name w:val="SGARecipient"/>
    <w:basedOn w:val="SGAText"/>
    <w:rsid w:val="00FE7446"/>
    <w:pPr>
      <w:tabs>
        <w:tab w:val="left" w:pos="4763"/>
      </w:tabs>
    </w:pPr>
  </w:style>
  <w:style w:type="paragraph" w:customStyle="1" w:styleId="SGAHeaderSender">
    <w:name w:val="SGAHeaderSender"/>
    <w:basedOn w:val="SGAHeader"/>
    <w:rsid w:val="00FE7446"/>
    <w:pPr>
      <w:tabs>
        <w:tab w:val="left" w:pos="680"/>
      </w:tabs>
    </w:pPr>
  </w:style>
  <w:style w:type="paragraph" w:styleId="BodyText">
    <w:name w:val="Body Text"/>
    <w:basedOn w:val="Normal"/>
    <w:rsid w:val="00FE7446"/>
    <w:pPr>
      <w:spacing w:line="240" w:lineRule="auto"/>
    </w:pPr>
    <w:rPr>
      <w:rFonts w:ascii="Times New Roman" w:hAnsi="Times New Roman"/>
      <w:i/>
      <w:iCs/>
      <w:sz w:val="24"/>
      <w:szCs w:val="24"/>
      <w:lang w:val="en-GB"/>
    </w:rPr>
  </w:style>
  <w:style w:type="paragraph" w:styleId="BodyTextIndent2">
    <w:name w:val="Body Text Indent 2"/>
    <w:basedOn w:val="Normal"/>
    <w:rsid w:val="00FE7446"/>
    <w:pPr>
      <w:spacing w:line="240" w:lineRule="auto"/>
      <w:ind w:left="360"/>
    </w:pPr>
    <w:rPr>
      <w:rFonts w:ascii="Times New Roman" w:hAnsi="Times New Roman"/>
      <w:sz w:val="24"/>
      <w:szCs w:val="24"/>
      <w:lang w:val="en-GB"/>
    </w:rPr>
  </w:style>
  <w:style w:type="paragraph" w:styleId="BodyTextIndent3">
    <w:name w:val="Body Text Indent 3"/>
    <w:basedOn w:val="Normal"/>
    <w:rsid w:val="00FE7446"/>
    <w:pPr>
      <w:ind w:left="720"/>
    </w:pPr>
    <w:rPr>
      <w:rFonts w:ascii="Times New Roman" w:hAnsi="Times New Roman"/>
      <w:b/>
      <w:bCs/>
      <w:sz w:val="22"/>
    </w:rPr>
  </w:style>
  <w:style w:type="paragraph" w:styleId="BodyText2">
    <w:name w:val="Body Text 2"/>
    <w:basedOn w:val="Normal"/>
    <w:rsid w:val="00FE7446"/>
    <w:pPr>
      <w:jc w:val="center"/>
    </w:pPr>
    <w:rPr>
      <w:b/>
      <w:bCs/>
      <w:sz w:val="24"/>
    </w:rPr>
  </w:style>
  <w:style w:type="paragraph" w:styleId="BodyText3">
    <w:name w:val="Body Text 3"/>
    <w:basedOn w:val="Normal"/>
    <w:rsid w:val="00FE7446"/>
    <w:rPr>
      <w:sz w:val="22"/>
    </w:rPr>
  </w:style>
  <w:style w:type="paragraph" w:styleId="BalloonText">
    <w:name w:val="Balloon Text"/>
    <w:basedOn w:val="Normal"/>
    <w:semiHidden/>
    <w:rsid w:val="00B47DA2"/>
    <w:rPr>
      <w:rFonts w:ascii="Tahoma" w:hAnsi="Tahoma" w:cs="Tahoma"/>
      <w:sz w:val="16"/>
      <w:szCs w:val="16"/>
    </w:rPr>
  </w:style>
  <w:style w:type="paragraph" w:styleId="FootnoteText">
    <w:name w:val="footnote text"/>
    <w:basedOn w:val="Normal"/>
    <w:semiHidden/>
    <w:rsid w:val="00E46DDD"/>
  </w:style>
  <w:style w:type="character" w:styleId="FootnoteReference">
    <w:name w:val="footnote reference"/>
    <w:basedOn w:val="DefaultParagraphFont"/>
    <w:semiHidden/>
    <w:rsid w:val="00E46DDD"/>
    <w:rPr>
      <w:vertAlign w:val="superscript"/>
    </w:rPr>
  </w:style>
  <w:style w:type="table" w:styleId="TableGrid">
    <w:name w:val="Table Grid"/>
    <w:basedOn w:val="TableNormal"/>
    <w:rsid w:val="002E2F7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D8201E"/>
    <w:rPr>
      <w:rFonts w:asciiTheme="majorHAnsi" w:eastAsiaTheme="majorEastAsia" w:hAnsiTheme="majorHAnsi" w:cstheme="majorBidi"/>
      <w:b/>
      <w:bCs/>
      <w:color w:val="4F81BD" w:themeColor="accent1"/>
      <w:lang w:val="en-US" w:eastAsia="en-US"/>
    </w:rPr>
  </w:style>
  <w:style w:type="paragraph" w:styleId="ListParagraph">
    <w:name w:val="List Paragraph"/>
    <w:basedOn w:val="Normal"/>
    <w:uiPriority w:val="34"/>
    <w:qFormat/>
    <w:rsid w:val="00D82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434843">
      <w:bodyDiv w:val="1"/>
      <w:marLeft w:val="0"/>
      <w:marRight w:val="0"/>
      <w:marTop w:val="0"/>
      <w:marBottom w:val="0"/>
      <w:divBdr>
        <w:top w:val="none" w:sz="0" w:space="0" w:color="auto"/>
        <w:left w:val="none" w:sz="0" w:space="0" w:color="auto"/>
        <w:bottom w:val="none" w:sz="0" w:space="0" w:color="auto"/>
        <w:right w:val="none" w:sz="0" w:space="0" w:color="auto"/>
      </w:divBdr>
    </w:div>
    <w:div w:id="1529218748">
      <w:bodyDiv w:val="1"/>
      <w:marLeft w:val="0"/>
      <w:marRight w:val="0"/>
      <w:marTop w:val="0"/>
      <w:marBottom w:val="0"/>
      <w:divBdr>
        <w:top w:val="none" w:sz="0" w:space="0" w:color="auto"/>
        <w:left w:val="none" w:sz="0" w:space="0" w:color="auto"/>
        <w:bottom w:val="none" w:sz="0" w:space="0" w:color="auto"/>
        <w:right w:val="none" w:sz="0" w:space="0" w:color="auto"/>
      </w:divBdr>
      <w:divsChild>
        <w:div w:id="1863860341">
          <w:marLeft w:val="0"/>
          <w:marRight w:val="0"/>
          <w:marTop w:val="0"/>
          <w:marBottom w:val="0"/>
          <w:divBdr>
            <w:top w:val="none" w:sz="0" w:space="0" w:color="auto"/>
            <w:left w:val="none" w:sz="0" w:space="0" w:color="auto"/>
            <w:bottom w:val="none" w:sz="0" w:space="0" w:color="auto"/>
            <w:right w:val="none" w:sz="0" w:space="0" w:color="auto"/>
          </w:divBdr>
          <w:divsChild>
            <w:div w:id="180022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ZENBIN\SYNGENTATEMPLATES\WORD\SGA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SGALetterhead.dot</Template>
  <TotalTime>444</TotalTime>
  <Pages>2</Pages>
  <Words>783</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TO WHOM IT MAY CONCERN</vt:lpstr>
    </vt:vector>
  </TitlesOfParts>
  <Company>Syngenta</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creator>ZODIAC Client</dc:creator>
  <cp:keywords>SGA-AutoCreated</cp:keywords>
  <cp:lastModifiedBy>Syngenta</cp:lastModifiedBy>
  <cp:revision>10</cp:revision>
  <cp:lastPrinted>2014-05-15T15:03:00Z</cp:lastPrinted>
  <dcterms:created xsi:type="dcterms:W3CDTF">2014-05-14T14:52:00Z</dcterms:created>
  <dcterms:modified xsi:type="dcterms:W3CDTF">2014-05-16T07:53:00Z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1.0004</vt:lpwstr>
  </property>
  <property fmtid="{D5CDD505-2E9C-101B-9397-08002B2CF9AE}" pid="3" name="_NewReviewCycle">
    <vt:lpwstr/>
  </property>
</Properties>
</file>